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C767" w14:textId="2C8D356F" w:rsidR="00C102A5" w:rsidRPr="00DD7A43" w:rsidRDefault="00C102A5" w:rsidP="00C102A5">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40"/>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395828AD" wp14:editId="1C3A4C95">
                <wp:simplePos x="0" y="0"/>
                <wp:positionH relativeFrom="margin">
                  <wp:posOffset>-85725</wp:posOffset>
                </wp:positionH>
                <wp:positionV relativeFrom="paragraph">
                  <wp:posOffset>-228600</wp:posOffset>
                </wp:positionV>
                <wp:extent cx="6141720" cy="670560"/>
                <wp:effectExtent l="0" t="0" r="0" b="0"/>
                <wp:wrapNone/>
                <wp:docPr id="1343060606"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1F18F438" w14:textId="77777777" w:rsidR="00C102A5" w:rsidRPr="00DD7A43" w:rsidRDefault="00C102A5" w:rsidP="00C102A5">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West London College: The West London Green Skills Hub</w:t>
                            </w:r>
                          </w:p>
                          <w:p w14:paraId="1B5DCD48" w14:textId="77777777" w:rsidR="00C102A5" w:rsidRDefault="00C102A5" w:rsidP="00C102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828AD" id="_x0000_t202" coordsize="21600,21600" o:spt="202" path="m,l,21600r21600,l21600,xe">
                <v:stroke joinstyle="miter"/>
                <v:path gradientshapeok="t" o:connecttype="rect"/>
              </v:shapetype>
              <v:shape id="Text Box 11" o:spid="_x0000_s1026" type="#_x0000_t202" style="position:absolute;margin-left:-6.75pt;margin-top:-18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" filled="f" stroked="f" strokeweight=".5pt">
                <v:textbox>
                  <w:txbxContent>
                    <w:p w14:paraId="1F18F438" w14:textId="77777777" w:rsidR="00C102A5" w:rsidRPr="00DD7A43" w:rsidRDefault="00C102A5" w:rsidP="00C102A5">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West London College: The West London Green Skills Hub</w:t>
                      </w:r>
                    </w:p>
                    <w:p w14:paraId="1B5DCD48" w14:textId="77777777" w:rsidR="00C102A5" w:rsidRDefault="00C102A5" w:rsidP="00C102A5"/>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2B583F05" wp14:editId="4D1CC6A7">
                <wp:simplePos x="0" y="0"/>
                <wp:positionH relativeFrom="margin">
                  <wp:align>right</wp:align>
                </wp:positionH>
                <wp:positionV relativeFrom="paragraph">
                  <wp:posOffset>-275590</wp:posOffset>
                </wp:positionV>
                <wp:extent cx="8374380" cy="647700"/>
                <wp:effectExtent l="0" t="0" r="7620" b="0"/>
                <wp:wrapNone/>
                <wp:docPr id="1141668806"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98FAD3" w14:textId="77777777" w:rsidR="00C102A5" w:rsidRDefault="00C102A5" w:rsidP="00C102A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83F05" id="Rectangle 1" o:spid="_x0000_s1027" style="position:absolute;margin-left:608.2pt;margin-top:-21.7pt;width:659.4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" fillcolor="#b9d7ff" stroked="f" strokeweight="1pt">
                <v:textbox>
                  <w:txbxContent>
                    <w:p w14:paraId="7898FAD3" w14:textId="77777777" w:rsidR="00C102A5" w:rsidRDefault="00C102A5" w:rsidP="00C102A5">
                      <w:pPr>
                        <w:spacing w:after="0"/>
                        <w:jc w:val="center"/>
                      </w:pPr>
                    </w:p>
                  </w:txbxContent>
                </v:textbox>
                <w10:wrap anchorx="margin"/>
              </v:rect>
            </w:pict>
          </mc:Fallback>
        </mc:AlternateContent>
      </w:r>
      <w:r w:rsidRPr="00DD7A43">
        <w:rPr>
          <w:rFonts w:ascii="Aeonik" w:eastAsia="PMingLiU" w:hAnsi="Aeonik" w:cs="Arial"/>
          <w:caps/>
          <w:color w:val="0050E6"/>
          <w:kern w:val="0"/>
          <w:sz w:val="36"/>
          <w:szCs w:val="36"/>
          <w:lang w:eastAsia="zh-TW"/>
          <w14:ligatures w14:val="none"/>
        </w:rPr>
        <w:t>West London College: The West London Green Skills Hub</w:t>
      </w:r>
      <w:bookmarkEnd w:id="0"/>
    </w:p>
    <w:p w14:paraId="792A8425" w14:textId="77777777" w:rsidR="00C102A5" w:rsidRPr="009212D6" w:rsidRDefault="00C102A5" w:rsidP="00C102A5">
      <w:pPr>
        <w:spacing w:after="0" w:line="264" w:lineRule="auto"/>
        <w:rPr>
          <w:rFonts w:ascii="Aeonik" w:eastAsia="PMingLiU" w:hAnsi="Aeonik" w:cs="Arial"/>
          <w:kern w:val="0"/>
          <w:lang w:eastAsia="zh-TW"/>
          <w14:ligatures w14:val="none"/>
        </w:rPr>
      </w:pPr>
    </w:p>
    <w:p w14:paraId="6F1C7573" w14:textId="77777777" w:rsidR="00C102A5" w:rsidRPr="009212D6" w:rsidRDefault="00C102A5" w:rsidP="00C102A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w:t>
      </w:r>
      <w:hyperlink r:id="rId11" w:history="1">
        <w:r w:rsidRPr="00DD7A43">
          <w:rPr>
            <w:rStyle w:val="Hyperlink"/>
            <w:rFonts w:ascii="Aeonik" w:eastAsia="PMingLiU" w:hAnsi="Aeonik" w:cs="Arial"/>
            <w:color w:val="0050E6"/>
            <w:kern w:val="0"/>
            <w:sz w:val="22"/>
            <w:szCs w:val="22"/>
            <w:lang w:eastAsia="zh-TW"/>
            <w14:ligatures w14:val="none"/>
          </w:rPr>
          <w:t>West London Green Skills Hub</w:t>
        </w:r>
      </w:hyperlink>
      <w:r w:rsidRPr="00DD7A43">
        <w:rPr>
          <w:rFonts w:ascii="Aeonik" w:eastAsia="PMingLiU" w:hAnsi="Aeonik" w:cs="Arial"/>
          <w:color w:val="0050E6"/>
          <w:kern w:val="0"/>
          <w:sz w:val="22"/>
          <w:szCs w:val="22"/>
          <w:lang w:eastAsia="zh-TW"/>
          <w14:ligatures w14:val="none"/>
        </w:rPr>
        <w:t xml:space="preserve"> </w:t>
      </w:r>
      <w:r w:rsidRPr="009212D6">
        <w:rPr>
          <w:rFonts w:ascii="Aeonik" w:eastAsia="PMingLiU" w:hAnsi="Aeonik" w:cs="Arial"/>
          <w:kern w:val="0"/>
          <w:sz w:val="22"/>
          <w:szCs w:val="22"/>
          <w:lang w:eastAsia="zh-TW"/>
          <w14:ligatures w14:val="none"/>
        </w:rPr>
        <w:t xml:space="preserve">was originally established in 2022 and at the time of </w:t>
      </w:r>
      <w:proofErr w:type="spellStart"/>
      <w:proofErr w:type="gramStart"/>
      <w:r w:rsidRPr="009212D6">
        <w:rPr>
          <w:rFonts w:ascii="Aeonik" w:eastAsia="PMingLiU" w:hAnsi="Aeonik" w:cs="Arial"/>
          <w:kern w:val="0"/>
          <w:sz w:val="22"/>
          <w:szCs w:val="22"/>
          <w:lang w:eastAsia="zh-TW"/>
          <w14:ligatures w14:val="none"/>
        </w:rPr>
        <w:t>it’s</w:t>
      </w:r>
      <w:proofErr w:type="spellEnd"/>
      <w:proofErr w:type="gramEnd"/>
      <w:r w:rsidRPr="009212D6">
        <w:rPr>
          <w:rFonts w:ascii="Aeonik" w:eastAsia="PMingLiU" w:hAnsi="Aeonik" w:cs="Arial"/>
          <w:kern w:val="0"/>
          <w:sz w:val="22"/>
          <w:szCs w:val="22"/>
          <w:lang w:eastAsia="zh-TW"/>
          <w14:ligatures w14:val="none"/>
        </w:rPr>
        <w:t xml:space="preserve"> conception was funded by the Greater London Authority and delivered by </w:t>
      </w:r>
      <w:hyperlink r:id="rId12" w:history="1">
        <w:r w:rsidRPr="00DD7A43">
          <w:rPr>
            <w:rStyle w:val="Hyperlink"/>
            <w:rFonts w:ascii="Aeonik" w:eastAsia="PMingLiU" w:hAnsi="Aeonik" w:cs="Arial"/>
            <w:color w:val="0050E6"/>
            <w:kern w:val="0"/>
            <w:sz w:val="22"/>
            <w:szCs w:val="22"/>
            <w:lang w:eastAsia="zh-TW"/>
            <w14:ligatures w14:val="none"/>
          </w:rPr>
          <w:t>West London College</w:t>
        </w:r>
      </w:hyperlink>
      <w:r w:rsidRPr="009212D6">
        <w:rPr>
          <w:rFonts w:ascii="Aeonik" w:eastAsia="PMingLiU" w:hAnsi="Aeonik" w:cs="Arial"/>
          <w:kern w:val="0"/>
          <w:sz w:val="22"/>
          <w:szCs w:val="22"/>
          <w:lang w:eastAsia="zh-TW"/>
          <w14:ligatures w14:val="none"/>
        </w:rPr>
        <w:t xml:space="preserve">. When funding ended, West London College recognised the value and successful work that the Hub facilitated between employers and training </w:t>
      </w:r>
      <w:proofErr w:type="gramStart"/>
      <w:r w:rsidRPr="009212D6">
        <w:rPr>
          <w:rFonts w:ascii="Aeonik" w:eastAsia="PMingLiU" w:hAnsi="Aeonik" w:cs="Arial"/>
          <w:kern w:val="0"/>
          <w:sz w:val="22"/>
          <w:szCs w:val="22"/>
          <w:lang w:eastAsia="zh-TW"/>
          <w14:ligatures w14:val="none"/>
        </w:rPr>
        <w:t>partners, and</w:t>
      </w:r>
      <w:proofErr w:type="gramEnd"/>
      <w:r w:rsidRPr="009212D6">
        <w:rPr>
          <w:rFonts w:ascii="Aeonik" w:eastAsia="PMingLiU" w:hAnsi="Aeonik" w:cs="Arial"/>
          <w:kern w:val="0"/>
          <w:sz w:val="22"/>
          <w:szCs w:val="22"/>
          <w:lang w:eastAsia="zh-TW"/>
          <w14:ligatures w14:val="none"/>
        </w:rPr>
        <w:t xml:space="preserve"> so decided to continue this work and maintain the hub. The Hub has been instrumental to drive training, apprenticeship and job opportunities.</w:t>
      </w:r>
    </w:p>
    <w:p w14:paraId="31D2C047" w14:textId="77777777" w:rsidR="00C102A5" w:rsidRPr="009212D6" w:rsidRDefault="00C102A5" w:rsidP="00C102A5">
      <w:pPr>
        <w:spacing w:after="0" w:line="264" w:lineRule="auto"/>
        <w:jc w:val="both"/>
        <w:rPr>
          <w:rFonts w:ascii="Aeonik" w:eastAsia="PMingLiU" w:hAnsi="Aeonik" w:cs="Arial"/>
          <w:kern w:val="0"/>
          <w:sz w:val="22"/>
          <w:szCs w:val="22"/>
          <w:lang w:eastAsia="zh-TW"/>
          <w14:ligatures w14:val="none"/>
        </w:rPr>
      </w:pPr>
    </w:p>
    <w:p w14:paraId="7D27353D" w14:textId="77777777" w:rsidR="00C102A5" w:rsidRPr="009212D6" w:rsidRDefault="00C102A5" w:rsidP="00C102A5">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West London Green Skills Hub works to expand the region’s capacity to train residents in green and construction skills and address employer recruitment needs. It brings employers, training providers, LAs, charities and others together to widen access for under-represented groups and help create pathways into training and jobs. The goal is to build a skilled, future-ready workforce though bringing people and organisations together to work strategically via positive collaboration. </w:t>
      </w:r>
    </w:p>
    <w:p w14:paraId="64325002" w14:textId="77777777" w:rsidR="00C102A5" w:rsidRPr="009212D6" w:rsidRDefault="00C102A5" w:rsidP="00C102A5">
      <w:pPr>
        <w:spacing w:after="0" w:line="252" w:lineRule="auto"/>
        <w:jc w:val="both"/>
        <w:rPr>
          <w:rFonts w:ascii="Aeonik" w:eastAsia="PMingLiU" w:hAnsi="Aeonik" w:cs="Arial"/>
          <w:kern w:val="0"/>
          <w:sz w:val="22"/>
          <w:szCs w:val="22"/>
          <w:lang w:eastAsia="zh-TW"/>
          <w14:ligatures w14:val="none"/>
        </w:rPr>
      </w:pPr>
    </w:p>
    <w:p w14:paraId="79343776" w14:textId="77777777" w:rsidR="00C102A5" w:rsidRPr="009212D6" w:rsidRDefault="00C102A5" w:rsidP="00C102A5">
      <w:pPr>
        <w:spacing w:after="0" w:line="252"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Hub runs two active and influential employer boards, both chaired by employers. It supports West London Business, West London Alliance, training providers, DWP, </w:t>
      </w:r>
      <w:proofErr w:type="spellStart"/>
      <w:r w:rsidRPr="009212D6">
        <w:rPr>
          <w:rFonts w:ascii="Aeonik" w:eastAsia="PMingLiU" w:hAnsi="Aeonik" w:cs="Arial"/>
          <w:kern w:val="0"/>
          <w:sz w:val="22"/>
          <w:szCs w:val="22"/>
          <w:lang w:eastAsia="zh-TW"/>
          <w14:ligatures w14:val="none"/>
        </w:rPr>
        <w:t>Ingeus</w:t>
      </w:r>
      <w:proofErr w:type="spellEnd"/>
      <w:r w:rsidRPr="009212D6">
        <w:rPr>
          <w:rFonts w:ascii="Aeonik" w:eastAsia="PMingLiU" w:hAnsi="Aeonik" w:cs="Arial"/>
          <w:kern w:val="0"/>
          <w:sz w:val="22"/>
          <w:szCs w:val="22"/>
          <w:lang w:eastAsia="zh-TW"/>
          <w14:ligatures w14:val="none"/>
        </w:rPr>
        <w:t xml:space="preserve"> Restart and many others. Sessions on what the sector has to offer jobseekers have been delivered to over 900+ job brokerage professionals alongside with a series of job &amp; training fairs. An annual West London Green Skills prospectus has been </w:t>
      </w:r>
      <w:proofErr w:type="gramStart"/>
      <w:r w:rsidRPr="009212D6">
        <w:rPr>
          <w:rFonts w:ascii="Aeonik" w:eastAsia="PMingLiU" w:hAnsi="Aeonik" w:cs="Arial"/>
          <w:kern w:val="0"/>
          <w:sz w:val="22"/>
          <w:szCs w:val="22"/>
          <w:lang w:eastAsia="zh-TW"/>
          <w14:ligatures w14:val="none"/>
        </w:rPr>
        <w:t>created</w:t>
      </w:r>
      <w:proofErr w:type="gramEnd"/>
      <w:r w:rsidRPr="009212D6">
        <w:rPr>
          <w:rFonts w:ascii="Aeonik" w:eastAsia="PMingLiU" w:hAnsi="Aeonik" w:cs="Arial"/>
          <w:kern w:val="0"/>
          <w:sz w:val="22"/>
          <w:szCs w:val="22"/>
          <w:lang w:eastAsia="zh-TW"/>
          <w14:ligatures w14:val="none"/>
        </w:rPr>
        <w:t xml:space="preserve"> and the Hub’s monthly e-newsletter promotes partner job and training opportunities to over 2,000 subscribers. </w:t>
      </w:r>
    </w:p>
    <w:p w14:paraId="6340A8CB" w14:textId="77777777" w:rsidR="00C102A5" w:rsidRPr="009212D6" w:rsidRDefault="00C102A5" w:rsidP="00C102A5">
      <w:pPr>
        <w:spacing w:after="0" w:line="252" w:lineRule="auto"/>
        <w:jc w:val="both"/>
        <w:rPr>
          <w:rFonts w:ascii="Aeonik" w:eastAsia="PMingLiU" w:hAnsi="Aeonik" w:cs="Arial"/>
          <w:kern w:val="0"/>
          <w:sz w:val="22"/>
          <w:szCs w:val="22"/>
          <w:lang w:eastAsia="zh-TW"/>
          <w14:ligatures w14:val="none"/>
        </w:rPr>
      </w:pPr>
    </w:p>
    <w:p w14:paraId="4298688F" w14:textId="77777777" w:rsidR="00C102A5" w:rsidRPr="00DC5848" w:rsidRDefault="00C102A5" w:rsidP="00C102A5">
      <w:pPr>
        <w:spacing w:after="0" w:line="252" w:lineRule="auto"/>
        <w:jc w:val="both"/>
        <w:rPr>
          <w:rFonts w:ascii="Aeonik" w:eastAsia="PMingLiU" w:hAnsi="Aeonik" w:cs="Arial"/>
          <w:color w:val="000000"/>
          <w:sz w:val="22"/>
          <w:szCs w:val="22"/>
          <w:lang w:eastAsia="zh-TW"/>
        </w:rPr>
      </w:pPr>
      <w:r w:rsidRPr="009212D6">
        <w:rPr>
          <w:rFonts w:ascii="Aeonik" w:eastAsia="PMingLiU" w:hAnsi="Aeonik" w:cs="Arial"/>
          <w:color w:val="000000"/>
          <w:kern w:val="0"/>
          <w:sz w:val="22"/>
          <w:szCs w:val="22"/>
          <w:lang w:eastAsia="zh-TW"/>
          <w14:ligatures w14:val="none"/>
        </w:rPr>
        <w:t xml:space="preserve">Since launch, the Hub’s training partner providers surpassed its KPI (by over 200%) for enrolling Londoners into training and education relating to the sector. At present, the Hub is supporting London’s new CTEC – Construction Technical Excellence College and the GLA’s pan-London, employer-led Construction &amp; Built Environment Sector Talent Board. </w:t>
      </w:r>
      <w:proofErr w:type="gramStart"/>
      <w:r w:rsidRPr="009212D6">
        <w:rPr>
          <w:rFonts w:ascii="Aeonik" w:eastAsia="PMingLiU" w:hAnsi="Aeonik" w:cs="Arial"/>
          <w:color w:val="000000"/>
          <w:kern w:val="0"/>
          <w:sz w:val="22"/>
          <w:szCs w:val="22"/>
          <w:lang w:eastAsia="zh-TW"/>
          <w14:ligatures w14:val="none"/>
        </w:rPr>
        <w:t>Both of the Hub’s</w:t>
      </w:r>
      <w:proofErr w:type="gramEnd"/>
      <w:r w:rsidRPr="009212D6">
        <w:rPr>
          <w:rFonts w:ascii="Aeonik" w:eastAsia="PMingLiU" w:hAnsi="Aeonik" w:cs="Arial"/>
          <w:color w:val="000000"/>
          <w:kern w:val="0"/>
          <w:sz w:val="22"/>
          <w:szCs w:val="22"/>
          <w:lang w:eastAsia="zh-TW"/>
          <w14:ligatures w14:val="none"/>
        </w:rPr>
        <w:t xml:space="preserve"> employer board chairs have places on the GLA board. The Hub has recently, via the LSIP2 process, been involved in sharing </w:t>
      </w:r>
    </w:p>
    <w:p w14:paraId="6BF0169B" w14:textId="77777777" w:rsidR="00C102A5" w:rsidRPr="00446705" w:rsidRDefault="00C102A5" w:rsidP="00C102A5">
      <w:pPr>
        <w:spacing w:after="0" w:line="252" w:lineRule="auto"/>
        <w:jc w:val="both"/>
        <w:rPr>
          <w:rFonts w:ascii="Aeonik" w:eastAsia="PMingLiU" w:hAnsi="Aeonik" w:cs="Arial"/>
          <w:color w:val="000000"/>
          <w:sz w:val="22"/>
          <w:szCs w:val="22"/>
          <w:lang w:eastAsia="zh-TW"/>
        </w:rPr>
      </w:pPr>
      <w:r w:rsidRPr="009212D6">
        <w:rPr>
          <w:rFonts w:ascii="Aeonik" w:eastAsia="PMingLiU" w:hAnsi="Aeonik" w:cs="Arial"/>
          <w:color w:val="000000"/>
          <w:kern w:val="0"/>
          <w:sz w:val="22"/>
          <w:szCs w:val="22"/>
          <w:lang w:eastAsia="zh-TW"/>
          <w14:ligatures w14:val="none"/>
        </w:rPr>
        <w:t xml:space="preserve">insights and best practice with West London’s wider sector Hubs. </w:t>
      </w:r>
    </w:p>
    <w:p w14:paraId="74A01E48" w14:textId="77777777" w:rsidR="00C102A5" w:rsidRPr="009212D6" w:rsidRDefault="00C102A5" w:rsidP="00C102A5">
      <w:pPr>
        <w:spacing w:after="0" w:line="252" w:lineRule="auto"/>
        <w:jc w:val="both"/>
        <w:rPr>
          <w:rFonts w:ascii="Aeonik" w:eastAsia="PMingLiU" w:hAnsi="Aeonik" w:cs="Arial"/>
          <w:color w:val="000000"/>
          <w:kern w:val="0"/>
          <w:sz w:val="22"/>
          <w:szCs w:val="22"/>
          <w:lang w:eastAsia="zh-TW"/>
          <w14:ligatures w14:val="none"/>
        </w:rPr>
      </w:pPr>
    </w:p>
    <w:p w14:paraId="3DB6B89A" w14:textId="77777777" w:rsidR="00C102A5" w:rsidRPr="009212D6" w:rsidRDefault="00C102A5" w:rsidP="00C102A5">
      <w:pPr>
        <w:spacing w:after="0" w:line="264" w:lineRule="auto"/>
        <w:rPr>
          <w:rFonts w:ascii="Aeonik" w:eastAsia="PMingLiU" w:hAnsi="Aeonik" w:cs="Arial"/>
          <w:kern w:val="0"/>
          <w:sz w:val="22"/>
          <w:szCs w:val="22"/>
          <w:lang w:eastAsia="zh-TW"/>
          <w14:ligatures w14:val="none"/>
        </w:rPr>
      </w:pPr>
    </w:p>
    <w:p w14:paraId="25D4BCF2" w14:textId="77777777" w:rsidR="00C102A5" w:rsidRPr="009212D6" w:rsidRDefault="00C102A5" w:rsidP="00C102A5">
      <w:pPr>
        <w:spacing w:after="0" w:line="264" w:lineRule="auto"/>
        <w:rPr>
          <w:rFonts w:ascii="Aeonik" w:eastAsia="PMingLiU" w:hAnsi="Aeonik" w:cs="Arial"/>
          <w:kern w:val="0"/>
          <w:sz w:val="22"/>
          <w:szCs w:val="22"/>
          <w:lang w:eastAsia="zh-TW"/>
          <w14:ligatures w14:val="none"/>
        </w:rPr>
      </w:pPr>
    </w:p>
    <w:p w14:paraId="6D6150F3" w14:textId="77777777" w:rsidR="00C102A5" w:rsidRPr="009212D6" w:rsidRDefault="00C102A5" w:rsidP="00C102A5">
      <w:pPr>
        <w:rPr>
          <w:rFonts w:ascii="Aeonik" w:eastAsia="PMingLiU" w:hAnsi="Aeonik" w:cs="Times New Roman"/>
          <w:b/>
          <w:bCs/>
          <w:kern w:val="0"/>
          <w:sz w:val="96"/>
          <w:szCs w:val="96"/>
          <w:lang w:eastAsia="zh-TW"/>
          <w14:ligatures w14:val="none"/>
        </w:rPr>
      </w:pPr>
      <w:r w:rsidRPr="00DC5848">
        <w:rPr>
          <w:rFonts w:ascii="Aeonik" w:eastAsia="PMingLiU" w:hAnsi="Aeonik" w:cs="Arial"/>
          <w:noProof/>
          <w:color w:val="000000"/>
          <w:sz w:val="22"/>
          <w:szCs w:val="22"/>
          <w:lang w:eastAsia="zh-TW"/>
        </w:rPr>
        <w:drawing>
          <wp:anchor distT="0" distB="0" distL="114300" distR="114300" simplePos="0" relativeHeight="251663360" behindDoc="0" locked="0" layoutInCell="1" allowOverlap="1" wp14:anchorId="20549057" wp14:editId="673216AC">
            <wp:simplePos x="0" y="0"/>
            <wp:positionH relativeFrom="margin">
              <wp:posOffset>3299850</wp:posOffset>
            </wp:positionH>
            <wp:positionV relativeFrom="paragraph">
              <wp:posOffset>427355</wp:posOffset>
            </wp:positionV>
            <wp:extent cx="4291330" cy="2263140"/>
            <wp:effectExtent l="0" t="0" r="0" b="3810"/>
            <wp:wrapNone/>
            <wp:docPr id="124326041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1330"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6705">
        <w:rPr>
          <w:rFonts w:ascii="Aeonik" w:eastAsia="PMingLiU" w:hAnsi="Aeonik" w:cs="Arial"/>
          <w:noProof/>
          <w:color w:val="000000"/>
          <w:sz w:val="22"/>
          <w:szCs w:val="22"/>
          <w:lang w:eastAsia="zh-TW"/>
        </w:rPr>
        <w:drawing>
          <wp:anchor distT="0" distB="0" distL="114300" distR="114300" simplePos="0" relativeHeight="251662336" behindDoc="0" locked="0" layoutInCell="1" allowOverlap="1" wp14:anchorId="079C9FC0" wp14:editId="1EA9455F">
            <wp:simplePos x="0" y="0"/>
            <wp:positionH relativeFrom="margin">
              <wp:align>left</wp:align>
            </wp:positionH>
            <wp:positionV relativeFrom="paragraph">
              <wp:posOffset>419232</wp:posOffset>
            </wp:positionV>
            <wp:extent cx="3422522" cy="2272193"/>
            <wp:effectExtent l="0" t="0" r="6985" b="0"/>
            <wp:wrapNone/>
            <wp:docPr id="173874774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2522" cy="22721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1312" behindDoc="0" locked="0" layoutInCell="1" allowOverlap="1" wp14:anchorId="5ED6FEF6" wp14:editId="79001F12">
                <wp:simplePos x="0" y="0"/>
                <wp:positionH relativeFrom="page">
                  <wp:posOffset>454660</wp:posOffset>
                </wp:positionH>
                <wp:positionV relativeFrom="paragraph">
                  <wp:posOffset>231140</wp:posOffset>
                </wp:positionV>
                <wp:extent cx="7101840" cy="2667000"/>
                <wp:effectExtent l="0" t="0" r="3810" b="0"/>
                <wp:wrapNone/>
                <wp:docPr id="2001995207"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48F619" w14:textId="77777777" w:rsidR="00C102A5" w:rsidRDefault="00C102A5" w:rsidP="00C102A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6FEF6" id="_x0000_s1028" style="position:absolute;margin-left:35.8pt;margin-top:18.2pt;width:559.2pt;height:21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" fillcolor="#b9d7ff" stroked="f" strokeweight="1pt">
                <v:textbox>
                  <w:txbxContent>
                    <w:p w14:paraId="4048F619" w14:textId="77777777" w:rsidR="00C102A5" w:rsidRDefault="00C102A5" w:rsidP="00C102A5">
                      <w:pPr>
                        <w:spacing w:after="0"/>
                        <w:jc w:val="center"/>
                      </w:pPr>
                    </w:p>
                  </w:txbxContent>
                </v:textbox>
                <w10:wrap anchorx="page"/>
              </v:rect>
            </w:pict>
          </mc:Fallback>
        </mc:AlternateContent>
      </w:r>
    </w:p>
    <w:p w14:paraId="496B6D97" w14:textId="77777777" w:rsidR="00C102A5" w:rsidRPr="009212D6" w:rsidRDefault="00C102A5" w:rsidP="00C102A5">
      <w:pPr>
        <w:spacing w:after="0" w:line="264" w:lineRule="auto"/>
        <w:outlineLvl w:val="0"/>
        <w:rPr>
          <w:rFonts w:ascii="Aeonik" w:eastAsia="PMingLiU" w:hAnsi="Aeonik" w:cs="Arial"/>
          <w:b/>
          <w:bCs/>
          <w:caps/>
          <w:kern w:val="0"/>
          <w:sz w:val="96"/>
          <w:szCs w:val="96"/>
          <w:lang w:eastAsia="zh-TW"/>
          <w14:ligatures w14:val="none"/>
        </w:rPr>
      </w:pPr>
    </w:p>
    <w:p w14:paraId="2D7B9CE8" w14:textId="77777777" w:rsidR="00DE06E5" w:rsidRPr="002D0195" w:rsidRDefault="00DE06E5" w:rsidP="00D972DF">
      <w:pPr>
        <w:rPr>
          <w:rFonts w:cs="Arial"/>
        </w:rPr>
      </w:pPr>
    </w:p>
    <w:sectPr w:rsidR="00DE06E5" w:rsidRPr="002D0195" w:rsidSect="00F024B7">
      <w:headerReference w:type="first" r:id="rId15"/>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9D2AF" w14:textId="77777777" w:rsidR="00296292" w:rsidRDefault="00296292" w:rsidP="002A4060">
      <w:pPr>
        <w:spacing w:line="240" w:lineRule="auto"/>
      </w:pPr>
      <w:r>
        <w:separator/>
      </w:r>
    </w:p>
  </w:endnote>
  <w:endnote w:type="continuationSeparator" w:id="0">
    <w:p w14:paraId="057B5AEE" w14:textId="77777777" w:rsidR="00296292" w:rsidRDefault="00296292"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0F0221B-F3C5-4AE3-97CE-AE45A3487EAF}"/>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E43B7B31-94BA-4C35-BC6E-7226D6420A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E3499" w14:textId="77777777" w:rsidR="00296292" w:rsidRDefault="00296292" w:rsidP="002A4060">
      <w:pPr>
        <w:spacing w:line="240" w:lineRule="auto"/>
      </w:pPr>
      <w:r>
        <w:separator/>
      </w:r>
    </w:p>
  </w:footnote>
  <w:footnote w:type="continuationSeparator" w:id="0">
    <w:p w14:paraId="60946133" w14:textId="77777777" w:rsidR="00296292" w:rsidRDefault="00296292"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6E9B"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A5"/>
    <w:rsid w:val="00016B1D"/>
    <w:rsid w:val="000732EC"/>
    <w:rsid w:val="00141337"/>
    <w:rsid w:val="00143F10"/>
    <w:rsid w:val="001A3FDD"/>
    <w:rsid w:val="001D5591"/>
    <w:rsid w:val="00212AC3"/>
    <w:rsid w:val="002347C1"/>
    <w:rsid w:val="00237C39"/>
    <w:rsid w:val="00296292"/>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102A5"/>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E36E5"/>
  <w15:chartTrackingRefBased/>
  <w15:docId w15:val="{07996FE3-364D-44F1-AF35-B4404734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2A5"/>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C102A5"/>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lc.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stlondongreenskills.co.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2.xml><?xml version="1.0" encoding="utf-8"?>
<ds:datastoreItem xmlns:ds="http://schemas.openxmlformats.org/officeDocument/2006/customXml" ds:itemID="{BA1AE312-A45E-4BA5-BDCA-613237963123}"/>
</file>

<file path=customXml/itemProps3.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4.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2026-07-09T10:40:00Z</dcterms:created>
  <dcterms:modified xsi:type="dcterms:W3CDTF">2026-07-09T10:41:00Z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