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5954A" w14:textId="77777777" w:rsidR="005435FE" w:rsidRDefault="005435FE" w:rsidP="005435FE">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42"/>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59681E3A" wp14:editId="0A5C6F57">
                <wp:simplePos x="0" y="0"/>
                <wp:positionH relativeFrom="margin">
                  <wp:posOffset>-2277585</wp:posOffset>
                </wp:positionH>
                <wp:positionV relativeFrom="paragraph">
                  <wp:posOffset>-100977</wp:posOffset>
                </wp:positionV>
                <wp:extent cx="8374380" cy="661959"/>
                <wp:effectExtent l="0" t="0" r="7620" b="5080"/>
                <wp:wrapNone/>
                <wp:docPr id="287646623" name="Rectangle 1"/>
                <wp:cNvGraphicFramePr/>
                <a:graphic xmlns:a="http://schemas.openxmlformats.org/drawingml/2006/main">
                  <a:graphicData uri="http://schemas.microsoft.com/office/word/2010/wordprocessingShape">
                    <wps:wsp>
                      <wps:cNvSpPr/>
                      <wps:spPr>
                        <a:xfrm>
                          <a:off x="0" y="0"/>
                          <a:ext cx="8374380" cy="661959"/>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9152FD" w14:textId="77777777" w:rsidR="005435FE" w:rsidRDefault="005435FE" w:rsidP="005435FE">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81E3A" id="Rectangle 1" o:spid="_x0000_s1026" style="position:absolute;margin-left:-179.35pt;margin-top:-7.95pt;width:659.4pt;height:5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" fillcolor="#b9d7ff" stroked="f" strokeweight="1pt">
                <v:textbox>
                  <w:txbxContent>
                    <w:p w14:paraId="139152FD" w14:textId="77777777" w:rsidR="005435FE" w:rsidRDefault="005435FE" w:rsidP="005435FE">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17280F09" wp14:editId="76D5891C">
                <wp:simplePos x="0" y="0"/>
                <wp:positionH relativeFrom="margin">
                  <wp:posOffset>-84147</wp:posOffset>
                </wp:positionH>
                <wp:positionV relativeFrom="paragraph">
                  <wp:posOffset>-106587</wp:posOffset>
                </wp:positionV>
                <wp:extent cx="6141720" cy="712447"/>
                <wp:effectExtent l="0" t="0" r="0" b="0"/>
                <wp:wrapNone/>
                <wp:docPr id="69013003" name="Text Box 11"/>
                <wp:cNvGraphicFramePr/>
                <a:graphic xmlns:a="http://schemas.openxmlformats.org/drawingml/2006/main">
                  <a:graphicData uri="http://schemas.microsoft.com/office/word/2010/wordprocessingShape">
                    <wps:wsp>
                      <wps:cNvSpPr txBox="1"/>
                      <wps:spPr>
                        <a:xfrm>
                          <a:off x="0" y="0"/>
                          <a:ext cx="6141720" cy="712447"/>
                        </a:xfrm>
                        <a:prstGeom prst="rect">
                          <a:avLst/>
                        </a:prstGeom>
                        <a:noFill/>
                        <a:ln w="6350">
                          <a:noFill/>
                        </a:ln>
                      </wps:spPr>
                      <wps:txbx>
                        <w:txbxContent>
                          <w:p w14:paraId="49296630" w14:textId="77777777" w:rsidR="005435FE" w:rsidRPr="000943DD" w:rsidRDefault="005435FE" w:rsidP="005435FE">
                            <w:pPr>
                              <w:spacing w:after="0" w:line="264" w:lineRule="auto"/>
                              <w:outlineLvl w:val="0"/>
                              <w:rPr>
                                <w:rFonts w:ascii="Aeonik" w:eastAsia="PMingLiU" w:hAnsi="Aeonik" w:cs="Arial"/>
                                <w:caps/>
                                <w:color w:val="0050E6"/>
                                <w:kern w:val="0"/>
                                <w:sz w:val="36"/>
                                <w:szCs w:val="36"/>
                                <w:lang w:eastAsia="zh-TW"/>
                                <w14:ligatures w14:val="none"/>
                              </w:rPr>
                            </w:pPr>
                            <w:r w:rsidRPr="000943DD">
                              <w:rPr>
                                <w:rFonts w:ascii="Aeonik" w:eastAsia="PMingLiU" w:hAnsi="Aeonik" w:cs="Arial"/>
                                <w:caps/>
                                <w:color w:val="0050E6"/>
                                <w:kern w:val="0"/>
                                <w:sz w:val="36"/>
                                <w:szCs w:val="36"/>
                                <w:lang w:eastAsia="zh-TW"/>
                                <w14:ligatures w14:val="none"/>
                              </w:rPr>
                              <w:t xml:space="preserve">Harrow, Richmond and </w:t>
                            </w:r>
                            <w:r>
                              <w:rPr>
                                <w:rFonts w:ascii="Aeonik" w:eastAsia="PMingLiU" w:hAnsi="Aeonik" w:cs="Arial"/>
                                <w:caps/>
                                <w:color w:val="0050E6"/>
                                <w:kern w:val="0"/>
                                <w:sz w:val="36"/>
                                <w:szCs w:val="36"/>
                                <w:lang w:eastAsia="zh-TW"/>
                                <w14:ligatures w14:val="none"/>
                              </w:rPr>
                              <w:t>U</w:t>
                            </w:r>
                            <w:r w:rsidRPr="000943DD">
                              <w:rPr>
                                <w:rFonts w:ascii="Aeonik" w:eastAsia="PMingLiU" w:hAnsi="Aeonik" w:cs="Arial"/>
                                <w:caps/>
                                <w:color w:val="0050E6"/>
                                <w:kern w:val="0"/>
                                <w:sz w:val="36"/>
                                <w:szCs w:val="36"/>
                                <w:lang w:eastAsia="zh-TW"/>
                                <w14:ligatures w14:val="none"/>
                              </w:rPr>
                              <w:t xml:space="preserve">xbridge Colleges: Skills for Care and the Practical Approach </w:t>
                            </w:r>
                            <w:r>
                              <w:rPr>
                                <w:rFonts w:ascii="Aeonik" w:eastAsia="PMingLiU" w:hAnsi="Aeonik" w:cs="Arial"/>
                                <w:caps/>
                                <w:color w:val="0050E6"/>
                                <w:kern w:val="0"/>
                                <w:sz w:val="36"/>
                                <w:szCs w:val="36"/>
                                <w:lang w:eastAsia="zh-TW"/>
                                <w14:ligatures w14:val="none"/>
                              </w:rPr>
                              <w:t>T</w:t>
                            </w:r>
                            <w:r w:rsidRPr="000943DD">
                              <w:rPr>
                                <w:rFonts w:ascii="Aeonik" w:eastAsia="PMingLiU" w:hAnsi="Aeonik" w:cs="Arial"/>
                                <w:caps/>
                                <w:color w:val="0050E6"/>
                                <w:kern w:val="0"/>
                                <w:sz w:val="36"/>
                                <w:szCs w:val="36"/>
                                <w:lang w:eastAsia="zh-TW"/>
                                <w14:ligatures w14:val="none"/>
                              </w:rPr>
                              <w:t>oolkit</w:t>
                            </w:r>
                          </w:p>
                          <w:p w14:paraId="544214B4" w14:textId="77777777" w:rsidR="005435FE" w:rsidRDefault="005435FE" w:rsidP="005435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280F09" id="_x0000_t202" coordsize="21600,21600" o:spt="202" path="m,l,21600r21600,l21600,xe">
                <v:stroke joinstyle="miter"/>
                <v:path gradientshapeok="t" o:connecttype="rect"/>
              </v:shapetype>
              <v:shape id="Text Box 11" o:spid="_x0000_s1027" type="#_x0000_t202" style="position:absolute;margin-left:-6.65pt;margin-top:-8.4pt;width:483.6pt;height:56.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" filled="f" stroked="f" strokeweight=".5pt">
                <v:textbox>
                  <w:txbxContent>
                    <w:p w14:paraId="49296630" w14:textId="77777777" w:rsidR="005435FE" w:rsidRPr="000943DD" w:rsidRDefault="005435FE" w:rsidP="005435FE">
                      <w:pPr>
                        <w:spacing w:after="0" w:line="264" w:lineRule="auto"/>
                        <w:outlineLvl w:val="0"/>
                        <w:rPr>
                          <w:rFonts w:ascii="Aeonik" w:eastAsia="PMingLiU" w:hAnsi="Aeonik" w:cs="Arial"/>
                          <w:caps/>
                          <w:color w:val="0050E6"/>
                          <w:kern w:val="0"/>
                          <w:sz w:val="36"/>
                          <w:szCs w:val="36"/>
                          <w:lang w:eastAsia="zh-TW"/>
                          <w14:ligatures w14:val="none"/>
                        </w:rPr>
                      </w:pPr>
                      <w:r w:rsidRPr="000943DD">
                        <w:rPr>
                          <w:rFonts w:ascii="Aeonik" w:eastAsia="PMingLiU" w:hAnsi="Aeonik" w:cs="Arial"/>
                          <w:caps/>
                          <w:color w:val="0050E6"/>
                          <w:kern w:val="0"/>
                          <w:sz w:val="36"/>
                          <w:szCs w:val="36"/>
                          <w:lang w:eastAsia="zh-TW"/>
                          <w14:ligatures w14:val="none"/>
                        </w:rPr>
                        <w:t xml:space="preserve">Harrow, Richmond and </w:t>
                      </w:r>
                      <w:r>
                        <w:rPr>
                          <w:rFonts w:ascii="Aeonik" w:eastAsia="PMingLiU" w:hAnsi="Aeonik" w:cs="Arial"/>
                          <w:caps/>
                          <w:color w:val="0050E6"/>
                          <w:kern w:val="0"/>
                          <w:sz w:val="36"/>
                          <w:szCs w:val="36"/>
                          <w:lang w:eastAsia="zh-TW"/>
                          <w14:ligatures w14:val="none"/>
                        </w:rPr>
                        <w:t>U</w:t>
                      </w:r>
                      <w:r w:rsidRPr="000943DD">
                        <w:rPr>
                          <w:rFonts w:ascii="Aeonik" w:eastAsia="PMingLiU" w:hAnsi="Aeonik" w:cs="Arial"/>
                          <w:caps/>
                          <w:color w:val="0050E6"/>
                          <w:kern w:val="0"/>
                          <w:sz w:val="36"/>
                          <w:szCs w:val="36"/>
                          <w:lang w:eastAsia="zh-TW"/>
                          <w14:ligatures w14:val="none"/>
                        </w:rPr>
                        <w:t xml:space="preserve">xbridge Colleges: Skills for Care and the Practical Approach </w:t>
                      </w:r>
                      <w:r>
                        <w:rPr>
                          <w:rFonts w:ascii="Aeonik" w:eastAsia="PMingLiU" w:hAnsi="Aeonik" w:cs="Arial"/>
                          <w:caps/>
                          <w:color w:val="0050E6"/>
                          <w:kern w:val="0"/>
                          <w:sz w:val="36"/>
                          <w:szCs w:val="36"/>
                          <w:lang w:eastAsia="zh-TW"/>
                          <w14:ligatures w14:val="none"/>
                        </w:rPr>
                        <w:t>T</w:t>
                      </w:r>
                      <w:r w:rsidRPr="000943DD">
                        <w:rPr>
                          <w:rFonts w:ascii="Aeonik" w:eastAsia="PMingLiU" w:hAnsi="Aeonik" w:cs="Arial"/>
                          <w:caps/>
                          <w:color w:val="0050E6"/>
                          <w:kern w:val="0"/>
                          <w:sz w:val="36"/>
                          <w:szCs w:val="36"/>
                          <w:lang w:eastAsia="zh-TW"/>
                          <w14:ligatures w14:val="none"/>
                        </w:rPr>
                        <w:t>oolkit</w:t>
                      </w:r>
                    </w:p>
                    <w:p w14:paraId="544214B4" w14:textId="77777777" w:rsidR="005435FE" w:rsidRDefault="005435FE" w:rsidP="005435FE"/>
                  </w:txbxContent>
                </v:textbox>
                <w10:wrap anchorx="margin"/>
              </v:shape>
            </w:pict>
          </mc:Fallback>
        </mc:AlternateContent>
      </w:r>
      <w:r w:rsidRPr="000943DD">
        <w:rPr>
          <w:rFonts w:ascii="Aeonik" w:eastAsia="PMingLiU" w:hAnsi="Aeonik" w:cs="Arial"/>
          <w:caps/>
          <w:color w:val="0050E6"/>
          <w:kern w:val="0"/>
          <w:sz w:val="36"/>
          <w:szCs w:val="36"/>
          <w:lang w:eastAsia="zh-TW"/>
          <w14:ligatures w14:val="none"/>
        </w:rPr>
        <w:t xml:space="preserve">Harrow, Richmond and uxbridge Colleges: </w:t>
      </w:r>
      <w:bookmarkEnd w:id="0"/>
    </w:p>
    <w:p w14:paraId="7F8D159D" w14:textId="77777777" w:rsidR="005435FE" w:rsidRDefault="005435FE" w:rsidP="005435FE">
      <w:pPr>
        <w:spacing w:after="0" w:line="264" w:lineRule="auto"/>
        <w:outlineLvl w:val="0"/>
        <w:rPr>
          <w:rFonts w:ascii="Aeonik" w:eastAsia="PMingLiU" w:hAnsi="Aeonik" w:cs="Arial"/>
          <w:caps/>
          <w:color w:val="0050E6"/>
          <w:kern w:val="0"/>
          <w:sz w:val="36"/>
          <w:szCs w:val="36"/>
          <w:lang w:eastAsia="zh-TW"/>
          <w14:ligatures w14:val="none"/>
        </w:rPr>
      </w:pPr>
    </w:p>
    <w:p w14:paraId="62833127" w14:textId="77777777" w:rsidR="005435FE" w:rsidRPr="000943DD" w:rsidRDefault="005435FE" w:rsidP="005435FE">
      <w:pPr>
        <w:spacing w:after="0" w:line="264" w:lineRule="auto"/>
        <w:outlineLvl w:val="0"/>
        <w:rPr>
          <w:rFonts w:ascii="Aeonik" w:eastAsia="PMingLiU" w:hAnsi="Aeonik" w:cs="Arial"/>
          <w:caps/>
          <w:color w:val="0050E6"/>
          <w:kern w:val="0"/>
          <w:sz w:val="36"/>
          <w:szCs w:val="36"/>
          <w:lang w:eastAsia="zh-TW"/>
          <w14:ligatures w14:val="none"/>
        </w:rPr>
      </w:pPr>
    </w:p>
    <w:p w14:paraId="5E018E97" w14:textId="77777777" w:rsidR="005435FE" w:rsidRPr="009212D6" w:rsidRDefault="005435FE" w:rsidP="005435FE">
      <w:pPr>
        <w:spacing w:after="0" w:line="264" w:lineRule="auto"/>
        <w:rPr>
          <w:rFonts w:ascii="Aeonik" w:eastAsia="PMingLiU" w:hAnsi="Aeonik" w:cs="Times New Roman"/>
          <w:kern w:val="0"/>
          <w:sz w:val="22"/>
          <w:szCs w:val="22"/>
          <w:lang w:eastAsia="zh-TW"/>
          <w14:ligatures w14:val="none"/>
        </w:rPr>
      </w:pPr>
    </w:p>
    <w:p w14:paraId="7CC8267F" w14:textId="77777777" w:rsidR="005435FE" w:rsidRPr="009212D6" w:rsidRDefault="005435FE" w:rsidP="005435FE">
      <w:pPr>
        <w:spacing w:after="0" w:line="264" w:lineRule="auto"/>
        <w:jc w:val="both"/>
        <w:rPr>
          <w:rFonts w:ascii="Aeonik" w:eastAsia="PMingLiU" w:hAnsi="Aeonik" w:cs="Times New Roman"/>
          <w:kern w:val="0"/>
          <w:sz w:val="22"/>
          <w:szCs w:val="22"/>
          <w:lang w:eastAsia="zh-TW"/>
          <w14:ligatures w14:val="none"/>
        </w:rPr>
      </w:pPr>
      <w:hyperlink r:id="rId11" w:history="1">
        <w:r w:rsidRPr="000943DD">
          <w:rPr>
            <w:rStyle w:val="Hyperlink"/>
            <w:rFonts w:ascii="Aeonik" w:eastAsia="PMingLiU" w:hAnsi="Aeonik" w:cs="Times New Roman"/>
            <w:color w:val="0050E6"/>
            <w:kern w:val="0"/>
            <w:sz w:val="22"/>
            <w:szCs w:val="22"/>
            <w:lang w:eastAsia="zh-TW"/>
            <w14:ligatures w14:val="none"/>
          </w:rPr>
          <w:t>Skills for Care</w:t>
        </w:r>
      </w:hyperlink>
      <w:r w:rsidRPr="009212D6">
        <w:rPr>
          <w:rFonts w:ascii="Aeonik" w:eastAsia="PMingLiU" w:hAnsi="Aeonik" w:cs="Times New Roman"/>
          <w:kern w:val="0"/>
          <w:sz w:val="22"/>
          <w:szCs w:val="22"/>
          <w:lang w:eastAsia="zh-TW"/>
          <w14:ligatures w14:val="none"/>
        </w:rPr>
        <w:t xml:space="preserve"> has developed a new Practical Approach Toolkit to capture and share effective models of engagement that strengthen workforce development across adult social care. This toolkit was created in response to a need for more practical, grounded examples of what works in practice when aligning learning, employer engagement and workforce readiness. Too often, successful approaches remain localised and informal, limiting their wider impact. This initiative was designed to address that gap by showcasing real-world models that can be understood, adapted and replicated across the sector, and has been directly utilised by </w:t>
      </w:r>
      <w:hyperlink r:id="rId12" w:history="1">
        <w:r w:rsidRPr="000943DD">
          <w:rPr>
            <w:rStyle w:val="Hyperlink"/>
            <w:rFonts w:ascii="Aeonik" w:eastAsia="PMingLiU" w:hAnsi="Aeonik" w:cs="Times New Roman"/>
            <w:color w:val="0050E6"/>
            <w:kern w:val="0"/>
            <w:sz w:val="22"/>
            <w:szCs w:val="22"/>
            <w:lang w:eastAsia="zh-TW"/>
            <w14:ligatures w14:val="none"/>
          </w:rPr>
          <w:t>Harrow, Richmond and Uxbridge Colleges</w:t>
        </w:r>
      </w:hyperlink>
      <w:r w:rsidRPr="009212D6">
        <w:rPr>
          <w:rFonts w:ascii="Aeonik" w:eastAsia="PMingLiU" w:hAnsi="Aeonik" w:cs="Times New Roman"/>
          <w:kern w:val="0"/>
          <w:sz w:val="22"/>
          <w:szCs w:val="22"/>
          <w:lang w:eastAsia="zh-TW"/>
          <w14:ligatures w14:val="none"/>
        </w:rPr>
        <w:t xml:space="preserve"> (HRUC)</w:t>
      </w:r>
      <w:r>
        <w:rPr>
          <w:rFonts w:ascii="Aeonik" w:eastAsia="PMingLiU" w:hAnsi="Aeonik" w:cs="Times New Roman"/>
          <w:kern w:val="0"/>
          <w:sz w:val="22"/>
          <w:szCs w:val="22"/>
          <w:lang w:eastAsia="zh-TW"/>
          <w14:ligatures w14:val="none"/>
        </w:rPr>
        <w:t>.</w:t>
      </w:r>
    </w:p>
    <w:p w14:paraId="2579C8B4" w14:textId="77777777" w:rsidR="005435FE" w:rsidRPr="009212D6" w:rsidRDefault="005435FE" w:rsidP="005435FE">
      <w:pPr>
        <w:spacing w:after="0" w:line="264" w:lineRule="auto"/>
        <w:jc w:val="both"/>
        <w:rPr>
          <w:rFonts w:ascii="Aeonik" w:eastAsia="PMingLiU" w:hAnsi="Aeonik" w:cs="Times New Roman"/>
          <w:kern w:val="0"/>
          <w:sz w:val="22"/>
          <w:szCs w:val="22"/>
          <w:lang w:eastAsia="zh-TW"/>
          <w14:ligatures w14:val="none"/>
        </w:rPr>
      </w:pPr>
    </w:p>
    <w:p w14:paraId="4C1570E4" w14:textId="77777777" w:rsidR="005435FE" w:rsidRPr="009212D6" w:rsidRDefault="005435FE" w:rsidP="005435FE">
      <w:pPr>
        <w:spacing w:after="0" w:line="264" w:lineRule="auto"/>
        <w:jc w:val="both"/>
        <w:rPr>
          <w:rFonts w:ascii="Aeonik" w:eastAsia="PMingLiU" w:hAnsi="Aeonik" w:cs="Times New Roman"/>
          <w:kern w:val="0"/>
          <w:sz w:val="22"/>
          <w:szCs w:val="22"/>
          <w:lang w:eastAsia="zh-TW"/>
          <w14:ligatures w14:val="none"/>
        </w:rPr>
      </w:pPr>
      <w:r w:rsidRPr="009212D6">
        <w:rPr>
          <w:rFonts w:ascii="Aeonik" w:eastAsia="PMingLiU" w:hAnsi="Aeonik" w:cs="Times New Roman"/>
          <w:kern w:val="0"/>
          <w:sz w:val="22"/>
          <w:szCs w:val="22"/>
          <w:lang w:eastAsia="zh-TW"/>
          <w14:ligatures w14:val="none"/>
        </w:rPr>
        <w:t>The toolkit has been shaped directly by the experience and insight of providers who have implemented successful engagement approaches on the ground. Contributors have shared how structured, predictable engagement routines, immersive learning environments, hybrid participation models and reciprocal partnership working can be embedded over time to create meaningful impact. Rather than presenting theory alone, the toolkit “gets under the bonnet” of implementation, exploring not only what was done, but why it worked and how it was sustained in practice.</w:t>
      </w:r>
    </w:p>
    <w:p w14:paraId="6D98A9F3" w14:textId="77777777" w:rsidR="005435FE" w:rsidRPr="009212D6" w:rsidRDefault="005435FE" w:rsidP="005435FE">
      <w:pPr>
        <w:spacing w:after="0" w:line="264" w:lineRule="auto"/>
        <w:jc w:val="both"/>
        <w:rPr>
          <w:rFonts w:ascii="Aeonik" w:eastAsia="PMingLiU" w:hAnsi="Aeonik" w:cs="Times New Roman"/>
          <w:kern w:val="0"/>
          <w:sz w:val="22"/>
          <w:szCs w:val="22"/>
          <w:lang w:eastAsia="zh-TW"/>
          <w14:ligatures w14:val="none"/>
        </w:rPr>
      </w:pPr>
    </w:p>
    <w:p w14:paraId="14BCC84A" w14:textId="77777777" w:rsidR="005435FE" w:rsidRPr="009212D6" w:rsidRDefault="005435FE" w:rsidP="005435FE">
      <w:pPr>
        <w:spacing w:after="0" w:line="264" w:lineRule="auto"/>
        <w:jc w:val="both"/>
        <w:rPr>
          <w:rFonts w:ascii="Aeonik" w:eastAsia="PMingLiU" w:hAnsi="Aeonik" w:cs="Times New Roman"/>
          <w:kern w:val="0"/>
          <w:sz w:val="22"/>
          <w:szCs w:val="22"/>
          <w:lang w:eastAsia="zh-TW"/>
          <w14:ligatures w14:val="none"/>
        </w:rPr>
      </w:pPr>
      <w:r w:rsidRPr="009212D6">
        <w:rPr>
          <w:rFonts w:ascii="Aeonik" w:eastAsia="PMingLiU" w:hAnsi="Aeonik" w:cs="Times New Roman"/>
          <w:kern w:val="0"/>
          <w:sz w:val="22"/>
          <w:szCs w:val="22"/>
          <w:lang w:eastAsia="zh-TW"/>
          <w14:ligatures w14:val="none"/>
        </w:rPr>
        <w:t>By capturing these detailed approaches, the toolkit provides a practical framework for colleges, training providers, employer representative bodies and system partners to better align curriculum with real workplace practice. It highlights how strong collaboration between education and employers can improve learner readiness, strengthen workforce pipelines and ensure training is responsive to sector needs. The examples included demonstrate how consistent engagement with employers, combined with flexible and immersive learning design, can create more confident, capable learners who are better prepared for employment.</w:t>
      </w:r>
    </w:p>
    <w:p w14:paraId="295C7FD9" w14:textId="77777777" w:rsidR="005435FE" w:rsidRPr="009212D6" w:rsidRDefault="005435FE" w:rsidP="005435FE">
      <w:pPr>
        <w:spacing w:after="0" w:line="264" w:lineRule="auto"/>
        <w:jc w:val="both"/>
        <w:rPr>
          <w:rFonts w:ascii="Aeonik" w:eastAsia="PMingLiU" w:hAnsi="Aeonik" w:cs="Times New Roman"/>
          <w:kern w:val="0"/>
          <w:sz w:val="22"/>
          <w:szCs w:val="22"/>
          <w:lang w:eastAsia="zh-TW"/>
          <w14:ligatures w14:val="none"/>
        </w:rPr>
      </w:pPr>
    </w:p>
    <w:p w14:paraId="5CA16DD0" w14:textId="77777777" w:rsidR="005435FE" w:rsidRPr="009212D6" w:rsidRDefault="005435FE" w:rsidP="005435FE">
      <w:pPr>
        <w:spacing w:after="0" w:line="264" w:lineRule="auto"/>
        <w:jc w:val="both"/>
        <w:rPr>
          <w:rFonts w:ascii="Aeonik" w:eastAsia="PMingLiU" w:hAnsi="Aeonik" w:cs="Times New Roman"/>
          <w:kern w:val="0"/>
          <w:sz w:val="22"/>
          <w:szCs w:val="22"/>
          <w:lang w:eastAsia="zh-TW"/>
          <w14:ligatures w14:val="none"/>
        </w:rPr>
      </w:pPr>
      <w:r w:rsidRPr="009212D6">
        <w:rPr>
          <w:rFonts w:ascii="Aeonik" w:eastAsia="PMingLiU" w:hAnsi="Aeonik" w:cs="Times New Roman"/>
          <w:kern w:val="0"/>
          <w:sz w:val="22"/>
          <w:szCs w:val="22"/>
          <w:lang w:eastAsia="zh-TW"/>
          <w14:ligatures w14:val="none"/>
        </w:rPr>
        <w:t>The impact of this work lies in its ability to translate successful local practice into sector-wide learning. It offers organisations the confidence to adapt and replicate approaches that have already proven effective, supporting a more consistent and informed approach to workforce development across adult social care.</w:t>
      </w:r>
    </w:p>
    <w:p w14:paraId="37FEB76E" w14:textId="77777777" w:rsidR="005435FE" w:rsidRPr="009212D6" w:rsidRDefault="005435FE" w:rsidP="005435FE">
      <w:pPr>
        <w:spacing w:after="0" w:line="264" w:lineRule="auto"/>
        <w:jc w:val="both"/>
        <w:rPr>
          <w:rFonts w:ascii="Aeonik" w:eastAsia="PMingLiU" w:hAnsi="Aeonik" w:cs="Times New Roman"/>
          <w:kern w:val="0"/>
          <w:sz w:val="22"/>
          <w:szCs w:val="22"/>
          <w:lang w:eastAsia="zh-TW"/>
          <w14:ligatures w14:val="none"/>
        </w:rPr>
      </w:pPr>
    </w:p>
    <w:p w14:paraId="41CFBBE5" w14:textId="77777777" w:rsidR="005435FE" w:rsidRPr="009212D6" w:rsidRDefault="005435FE" w:rsidP="005435FE">
      <w:pPr>
        <w:spacing w:after="0" w:line="264" w:lineRule="auto"/>
        <w:jc w:val="both"/>
        <w:rPr>
          <w:rFonts w:ascii="Aeonik" w:eastAsia="PMingLiU" w:hAnsi="Aeonik" w:cs="Times New Roman"/>
          <w:kern w:val="0"/>
          <w:sz w:val="22"/>
          <w:szCs w:val="22"/>
          <w:lang w:eastAsia="zh-TW"/>
          <w14:ligatures w14:val="none"/>
        </w:rPr>
      </w:pPr>
      <w:r w:rsidRPr="009212D6">
        <w:rPr>
          <w:rFonts w:ascii="Aeonik" w:eastAsia="PMingLiU" w:hAnsi="Aeonik" w:cs="Times New Roman"/>
          <w:kern w:val="0"/>
          <w:sz w:val="22"/>
          <w:szCs w:val="22"/>
          <w:lang w:eastAsia="zh-TW"/>
          <w14:ligatures w14:val="none"/>
        </w:rPr>
        <w:t>Looking ahead, Skills for Care will continue to promote and expand the toolkit collection over the coming months, ensuring that further examples of best practice are captured and shared. The continued aim is to strengthen collaboration across the sector, enhance learning experiences and support the development of a more confident, work-ready adult social care workforce.</w:t>
      </w:r>
    </w:p>
    <w:p w14:paraId="7A83A508" w14:textId="77777777" w:rsidR="00DE06E5" w:rsidRPr="002D0195" w:rsidRDefault="00DE06E5" w:rsidP="00D972DF">
      <w:pPr>
        <w:rPr>
          <w:rFonts w:cs="Arial"/>
        </w:rPr>
      </w:pPr>
    </w:p>
    <w:sectPr w:rsidR="00DE06E5" w:rsidRPr="002D0195" w:rsidSect="00F024B7">
      <w:headerReference w:type="first" r:id="rId13"/>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E22F4" w14:textId="77777777" w:rsidR="00423EF4" w:rsidRDefault="00423EF4" w:rsidP="002A4060">
      <w:pPr>
        <w:spacing w:line="240" w:lineRule="auto"/>
      </w:pPr>
      <w:r>
        <w:separator/>
      </w:r>
    </w:p>
  </w:endnote>
  <w:endnote w:type="continuationSeparator" w:id="0">
    <w:p w14:paraId="7BFE3936" w14:textId="77777777" w:rsidR="00423EF4" w:rsidRDefault="00423EF4"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73B9D0E-3A52-450B-9961-E19A98A0ED89}"/>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403FEBB8-03C8-4851-B731-501BC43AE6F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A8B95" w14:textId="77777777" w:rsidR="00423EF4" w:rsidRDefault="00423EF4" w:rsidP="002A4060">
      <w:pPr>
        <w:spacing w:line="240" w:lineRule="auto"/>
      </w:pPr>
      <w:r>
        <w:separator/>
      </w:r>
    </w:p>
  </w:footnote>
  <w:footnote w:type="continuationSeparator" w:id="0">
    <w:p w14:paraId="713C8968" w14:textId="77777777" w:rsidR="00423EF4" w:rsidRDefault="00423EF4"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AB8FF"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FE"/>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23EF4"/>
    <w:rsid w:val="0043264D"/>
    <w:rsid w:val="004763AC"/>
    <w:rsid w:val="004B09E4"/>
    <w:rsid w:val="004E78ED"/>
    <w:rsid w:val="004F5F24"/>
    <w:rsid w:val="00505AAD"/>
    <w:rsid w:val="005435FE"/>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943A0"/>
  <w15:chartTrackingRefBased/>
  <w15:docId w15:val="{D5C4375A-1080-4612-86C0-7781A64F6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5FE"/>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5435FE"/>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ruc.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killsforcare.org.uk/Home.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2.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4.xml><?xml version="1.0" encoding="utf-8"?>
<ds:datastoreItem xmlns:ds="http://schemas.openxmlformats.org/officeDocument/2006/customXml" ds:itemID="{19BEA6D3-CD98-46D0-8DD2-69AB01A5944C}"/>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2026-07-09T10:42:00Z</dcterms:created>
  <dcterms:modified xsi:type="dcterms:W3CDTF">2026-07-09T10:43:00Z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